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8214" w14:textId="77777777" w:rsidR="004C6E3C" w:rsidRDefault="00000000">
      <w:pPr>
        <w:bidi/>
        <w:spacing w:after="0"/>
        <w:jc w:val="center"/>
      </w:pPr>
      <w:r>
        <w:rPr>
          <w:b/>
          <w:bCs/>
          <w:color w:val="000000"/>
          <w:sz w:val="32"/>
          <w:szCs w:val="32"/>
          <w:rtl/>
          <w:lang w:bidi="he-IL"/>
        </w:rPr>
        <w:t>שם הגוף המבוקר:</w:t>
      </w:r>
      <w:r>
        <w:rPr>
          <w:color w:val="000000"/>
          <w:sz w:val="32"/>
          <w:szCs w:val="32"/>
          <w:rtl/>
          <w:lang w:bidi="he-IL"/>
        </w:rPr>
        <w:t xml:space="preserve"> עיריית קריית מלאכי </w:t>
      </w:r>
    </w:p>
    <w:p w14:paraId="552E06E2" w14:textId="4CEF2697" w:rsidR="004C6E3C" w:rsidRDefault="00000000">
      <w:pPr>
        <w:bidi/>
        <w:spacing w:after="0"/>
      </w:pPr>
      <w:r>
        <w:rPr>
          <w:b/>
          <w:bCs/>
          <w:color w:val="000000"/>
          <w:sz w:val="28"/>
          <w:szCs w:val="28"/>
          <w:rtl/>
          <w:lang w:bidi="he-IL"/>
        </w:rPr>
        <w:t>מסגרת פרסום הדוח:</w:t>
      </w:r>
      <w:r>
        <w:rPr>
          <w:color w:val="000000"/>
          <w:sz w:val="28"/>
          <w:szCs w:val="28"/>
          <w:rtl/>
          <w:lang w:bidi="he-IL"/>
        </w:rPr>
        <w:t xml:space="preserve"> דוחות על הביקורת בשלטון המקומי 202</w:t>
      </w:r>
      <w:r w:rsidR="00220AEF">
        <w:rPr>
          <w:rFonts w:hint="cs"/>
          <w:color w:val="000000"/>
          <w:sz w:val="28"/>
          <w:szCs w:val="28"/>
          <w:rtl/>
          <w:lang w:bidi="he-IL"/>
        </w:rPr>
        <w:t>4</w:t>
      </w:r>
      <w:r>
        <w:rPr>
          <w:color w:val="000000"/>
          <w:sz w:val="28"/>
          <w:szCs w:val="28"/>
          <w:rtl/>
          <w:lang w:bidi="he-IL"/>
        </w:rPr>
        <w:t xml:space="preserve"> </w:t>
      </w:r>
    </w:p>
    <w:p w14:paraId="61CADD96" w14:textId="77777777" w:rsidR="004C6E3C" w:rsidRDefault="00000000">
      <w:pPr>
        <w:bidi/>
        <w:spacing w:after="0"/>
      </w:pPr>
      <w:r>
        <w:rPr>
          <w:b/>
          <w:bCs/>
          <w:color w:val="000000"/>
          <w:sz w:val="28"/>
          <w:szCs w:val="28"/>
          <w:rtl/>
          <w:lang w:bidi="he-IL"/>
        </w:rPr>
        <w:t>כותרת הדוח:</w:t>
      </w:r>
      <w:r>
        <w:rPr>
          <w:color w:val="000000"/>
          <w:sz w:val="28"/>
          <w:szCs w:val="28"/>
          <w:rtl/>
          <w:lang w:bidi="he-IL"/>
        </w:rPr>
        <w:t xml:space="preserve"> ההתמודדות עם תופעת האלימות בין בני זוג - ביקורת מעקב </w:t>
      </w:r>
    </w:p>
    <w:p w14:paraId="3EA39E9B" w14:textId="77777777" w:rsidR="004C6E3C" w:rsidRDefault="00000000">
      <w:pPr>
        <w:bidi/>
        <w:spacing w:after="0"/>
      </w:pPr>
      <w:r>
        <w:rPr>
          <w:b/>
          <w:bCs/>
          <w:color w:val="000000"/>
          <w:sz w:val="28"/>
          <w:szCs w:val="28"/>
          <w:rtl/>
          <w:lang w:bidi="he-IL"/>
        </w:rPr>
        <w:t>מס' הדוח:</w:t>
      </w:r>
      <w:r>
        <w:rPr>
          <w:color w:val="000000"/>
          <w:sz w:val="28"/>
          <w:szCs w:val="28"/>
          <w:rtl/>
          <w:lang w:bidi="he-IL"/>
        </w:rPr>
        <w:t xml:space="preserve"> 20224412 </w:t>
      </w:r>
    </w:p>
    <w:p w14:paraId="2608755B" w14:textId="77777777" w:rsidR="004C6E3C" w:rsidRDefault="00000000">
      <w:pPr>
        <w:bidi/>
        <w:spacing w:after="0"/>
      </w:pPr>
      <w:r>
        <w:rPr>
          <w:b/>
          <w:bCs/>
          <w:color w:val="000000"/>
          <w:sz w:val="28"/>
          <w:szCs w:val="28"/>
          <w:rtl/>
          <w:lang w:bidi="he-IL"/>
        </w:rPr>
        <w:t>מזהה הדוח:</w:t>
      </w:r>
      <w:r>
        <w:rPr>
          <w:color w:val="000000"/>
          <w:sz w:val="28"/>
          <w:szCs w:val="28"/>
          <w:rtl/>
          <w:lang w:bidi="he-IL"/>
        </w:rPr>
        <w:t xml:space="preserve"> 46210903 </w:t>
      </w:r>
    </w:p>
    <w:p w14:paraId="2D8ADDC1" w14:textId="77777777" w:rsidR="004C6E3C" w:rsidRDefault="00000000">
      <w:pPr>
        <w:bidi/>
        <w:spacing w:after="0"/>
        <w:jc w:val="right"/>
      </w:pPr>
      <w:r>
        <w:rPr>
          <w:b/>
          <w:bCs/>
          <w:color w:val="000000"/>
          <w:sz w:val="28"/>
          <w:szCs w:val="28"/>
          <w:rtl/>
          <w:lang w:bidi="he-IL"/>
        </w:rPr>
        <w:t xml:space="preserve">מועד דיווח הגוף המבוקר: </w:t>
      </w:r>
      <w:r>
        <w:rPr>
          <w:color w:val="000000"/>
          <w:sz w:val="28"/>
          <w:szCs w:val="28"/>
          <w:rtl/>
          <w:lang w:bidi="he-IL"/>
        </w:rPr>
        <w:t>                </w:t>
      </w:r>
    </w:p>
    <w:tbl>
      <w:tblPr>
        <w:bidiVisual/>
        <w:tblW w:w="5000" w:type="pct"/>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72"/>
        <w:gridCol w:w="1512"/>
        <w:gridCol w:w="4535"/>
        <w:gridCol w:w="1175"/>
        <w:gridCol w:w="5209"/>
        <w:gridCol w:w="1175"/>
        <w:gridCol w:w="1176"/>
        <w:gridCol w:w="1176"/>
      </w:tblGrid>
      <w:tr w:rsidR="004C6E3C" w14:paraId="65CC15F9"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36A09B5" w14:textId="77777777" w:rsidR="004C6E3C" w:rsidRDefault="00000000">
            <w:pPr>
              <w:bidi/>
              <w:spacing w:after="0"/>
              <w:jc w:val="center"/>
            </w:pPr>
            <w:r>
              <w:rPr>
                <w:b/>
                <w:bCs/>
                <w:color w:val="000000"/>
                <w:rtl/>
                <w:lang w:bidi="he-IL"/>
              </w:rPr>
              <w:t>מס'</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603415D" w14:textId="77777777" w:rsidR="004C6E3C" w:rsidRDefault="00000000">
            <w:pPr>
              <w:bidi/>
              <w:spacing w:after="0"/>
              <w:jc w:val="center"/>
            </w:pPr>
            <w:r>
              <w:rPr>
                <w:b/>
                <w:bCs/>
                <w:color w:val="000000"/>
                <w:rtl/>
                <w:lang w:bidi="he-IL"/>
              </w:rPr>
              <w:t>כותרת ליקוי</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5EF7A1B" w14:textId="77777777" w:rsidR="004C6E3C" w:rsidRDefault="00000000">
            <w:pPr>
              <w:bidi/>
              <w:spacing w:after="0"/>
              <w:jc w:val="center"/>
            </w:pPr>
            <w:r>
              <w:rPr>
                <w:b/>
                <w:bCs/>
                <w:color w:val="000000"/>
                <w:rtl/>
                <w:lang w:bidi="he-IL"/>
              </w:rPr>
              <w:t>הליקוי/המלצת ביקורת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F2C382C" w14:textId="77777777" w:rsidR="004C6E3C" w:rsidRDefault="00000000">
            <w:pPr>
              <w:bidi/>
              <w:spacing w:after="0"/>
              <w:jc w:val="center"/>
            </w:pPr>
            <w:r>
              <w:rPr>
                <w:b/>
                <w:bCs/>
                <w:color w:val="000000"/>
                <w:rtl/>
                <w:lang w:bidi="he-IL"/>
              </w:rPr>
              <w:t>תאריכי הדיונים בצוות לתיקון ליקויים</w:t>
            </w: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E73CC12" w14:textId="77777777" w:rsidR="004C6E3C" w:rsidRDefault="00000000">
            <w:pPr>
              <w:bidi/>
              <w:spacing w:after="0"/>
              <w:jc w:val="center"/>
            </w:pPr>
            <w:r>
              <w:rPr>
                <w:b/>
                <w:bCs/>
                <w:color w:val="000000"/>
                <w:rtl/>
                <w:lang w:bidi="he-IL"/>
              </w:rPr>
              <w:t>פירוט פעולות התיקון בהתאם להחלטות הצוות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B68B171" w14:textId="77777777" w:rsidR="004C6E3C" w:rsidRDefault="00000000">
            <w:pPr>
              <w:bidi/>
              <w:spacing w:after="0"/>
              <w:jc w:val="center"/>
            </w:pPr>
            <w:r>
              <w:rPr>
                <w:b/>
                <w:bCs/>
                <w:color w:val="000000"/>
                <w:rtl/>
                <w:lang w:bidi="he-IL"/>
              </w:rPr>
              <w:t xml:space="preserve">פרטי האחראי על התיקון </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A6C3342" w14:textId="77777777" w:rsidR="004C6E3C" w:rsidRDefault="00000000">
            <w:pPr>
              <w:bidi/>
              <w:spacing w:after="0"/>
              <w:jc w:val="center"/>
            </w:pPr>
            <w:r>
              <w:rPr>
                <w:b/>
                <w:bCs/>
                <w:color w:val="000000"/>
                <w:rtl/>
                <w:lang w:bidi="he-IL"/>
              </w:rPr>
              <w:t>המועד לתיקון הליקוי</w:t>
            </w: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3F76AE2" w14:textId="77777777" w:rsidR="004C6E3C" w:rsidRDefault="00000000">
            <w:pPr>
              <w:bidi/>
              <w:spacing w:after="0"/>
              <w:jc w:val="center"/>
            </w:pPr>
            <w:r>
              <w:rPr>
                <w:b/>
                <w:bCs/>
                <w:color w:val="000000"/>
                <w:rtl/>
                <w:lang w:bidi="he-IL"/>
              </w:rPr>
              <w:t>סטטוס תיקון – הליקוי תוקן/ תוקן חלקית בכוונתי לתקן/ לא בכוונתי לתקן</w:t>
            </w:r>
          </w:p>
        </w:tc>
      </w:tr>
      <w:tr w:rsidR="004C6E3C" w14:paraId="2637EEBD"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173E24C" w14:textId="77777777" w:rsidR="004C6E3C" w:rsidRDefault="00000000">
            <w:pPr>
              <w:bidi/>
              <w:spacing w:after="0"/>
              <w:jc w:val="center"/>
            </w:pPr>
            <w:r>
              <w:rPr>
                <w:color w:val="000000"/>
                <w:rtl/>
                <w:lang w:bidi="he-IL"/>
              </w:rPr>
              <w:t>1</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5BD6C94" w14:textId="77777777" w:rsidR="004C6E3C" w:rsidRDefault="00000000">
            <w:pPr>
              <w:bidi/>
              <w:spacing w:after="0"/>
              <w:jc w:val="center"/>
            </w:pPr>
            <w:r>
              <w:rPr>
                <w:color w:val="000000"/>
                <w:rtl/>
                <w:lang w:bidi="he-IL"/>
              </w:rPr>
              <w:t>הסברה והעלאת המודעות באוכלוסייה הכללית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EFB43FB" w14:textId="77777777" w:rsidR="004C6E3C" w:rsidRDefault="00000000">
            <w:pPr>
              <w:bidi/>
              <w:spacing w:after="0"/>
            </w:pPr>
            <w:r>
              <w:rPr>
                <w:b/>
                <w:bCs/>
                <w:color w:val="000000"/>
                <w:rtl/>
                <w:lang w:bidi="he-IL"/>
              </w:rPr>
              <w:t xml:space="preserve">ליקוי - </w:t>
            </w:r>
            <w:r>
              <w:rPr>
                <w:color w:val="000000"/>
                <w:rtl/>
                <w:lang w:bidi="he-IL"/>
              </w:rPr>
              <w:t xml:space="preserve"> הביקורת הקודמת העלתה כי בהיעדר מדיניות סדורה בנושא, קיימת חוסר אחידות בפעולות שהרשויות המקומיות שנבדקו נוקטות בתחום המניעה הראשונית וכן בהיקף התקציב שהן מקצות עבור פעולות אלו. בביקורת המעקב הועלה כי הליקוי תוקן במידה מועטה וכי ההמלצה להרחיב את פעולות המניעה הראשונית ולהגדיר תקציב ייעודי עבורן לא יושמה במלואה.</w:t>
            </w:r>
            <w:r>
              <w:br/>
            </w:r>
            <w:r>
              <w:br/>
            </w:r>
            <w:r>
              <w:rPr>
                <w:b/>
                <w:bCs/>
                <w:color w:val="000000"/>
                <w:rtl/>
                <w:lang w:bidi="he-IL"/>
              </w:rPr>
              <w:t xml:space="preserve">המלצה - </w:t>
            </w:r>
            <w:r>
              <w:rPr>
                <w:color w:val="000000"/>
                <w:rtl/>
                <w:lang w:bidi="he-IL"/>
              </w:rPr>
              <w:t xml:space="preserve"> משרד מבקר המדינה שב וממליץ לעיריות בית שמש, בני ברק, דימונה, חדרה, יבנה, קריית מלאכי, ראש העין, למועצות המקומיות קדימה-צורן </w:t>
            </w:r>
            <w:proofErr w:type="spellStart"/>
            <w:r>
              <w:rPr>
                <w:color w:val="000000"/>
                <w:rtl/>
                <w:lang w:bidi="he-IL"/>
              </w:rPr>
              <w:t>ושיבלי</w:t>
            </w:r>
            <w:proofErr w:type="spellEnd"/>
            <w:r>
              <w:rPr>
                <w:color w:val="000000"/>
                <w:rtl/>
                <w:lang w:bidi="he-IL"/>
              </w:rPr>
              <w:t xml:space="preserve"> - אום אל-</w:t>
            </w:r>
            <w:proofErr w:type="spellStart"/>
            <w:r>
              <w:rPr>
                <w:color w:val="000000"/>
                <w:rtl/>
                <w:lang w:bidi="he-IL"/>
              </w:rPr>
              <w:t>ר'נם</w:t>
            </w:r>
            <w:proofErr w:type="spellEnd"/>
            <w:r>
              <w:rPr>
                <w:color w:val="000000"/>
                <w:rtl/>
                <w:lang w:bidi="he-IL"/>
              </w:rPr>
              <w:t xml:space="preserve"> ולמועצה האזורית דרום השרון להגדיר מדי שנה תקציב ייעודי שישמש לפעולות של הסברה והעלאת המודעות.</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86BC255" w14:textId="77777777" w:rsidR="004C6E3C" w:rsidRDefault="004C6E3C">
            <w:pPr>
              <w:bidi/>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90B2206" w14:textId="77777777" w:rsidR="004C6E3C" w:rsidRDefault="004C6E3C">
            <w:pPr>
              <w:bidi/>
              <w:spacing w:after="0"/>
            </w:pP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B2536A4"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DAE1217"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9F8AE08" w14:textId="0D751545" w:rsidR="004C6E3C" w:rsidRDefault="00000000">
            <w:sdt>
              <w:sdtPr>
                <w:rPr>
                  <w:b/>
                  <w:caps/>
                </w:rPr>
                <w:id w:val="273991167"/>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Content>
                <w:r w:rsidR="00220AEF">
                  <w:t>תוקן חלקית</w:t>
                </w:r>
              </w:sdtContent>
            </w:sdt>
          </w:p>
          <w:p w14:paraId="04395329" w14:textId="77777777" w:rsidR="004C6E3C" w:rsidRDefault="004C6E3C">
            <w:pPr>
              <w:bidi/>
              <w:spacing w:after="0"/>
            </w:pPr>
          </w:p>
        </w:tc>
      </w:tr>
      <w:tr w:rsidR="004C6E3C" w14:paraId="320C86E6"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4ACE8DE5" w14:textId="77777777" w:rsidR="004C6E3C" w:rsidRDefault="00000000">
            <w:pPr>
              <w:bidi/>
              <w:spacing w:after="0"/>
              <w:jc w:val="center"/>
            </w:pPr>
            <w:r>
              <w:rPr>
                <w:color w:val="000000"/>
                <w:rtl/>
                <w:lang w:bidi="he-IL"/>
              </w:rPr>
              <w:t>2</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71265DBC" w14:textId="77777777" w:rsidR="004C6E3C" w:rsidRDefault="00000000">
            <w:pPr>
              <w:bidi/>
              <w:spacing w:after="0"/>
              <w:jc w:val="center"/>
            </w:pPr>
            <w:r>
              <w:rPr>
                <w:color w:val="000000"/>
                <w:rtl/>
                <w:lang w:bidi="he-IL"/>
              </w:rPr>
              <w:t>התכנסות ועדת ההיגוי וקביעת תוכנית העבודה השנתית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7E6E370" w14:textId="77777777" w:rsidR="004C6E3C" w:rsidRDefault="00000000">
            <w:pPr>
              <w:bidi/>
              <w:spacing w:after="0"/>
            </w:pPr>
            <w:r>
              <w:rPr>
                <w:b/>
                <w:bCs/>
                <w:color w:val="000000"/>
                <w:rtl/>
                <w:lang w:bidi="he-IL"/>
              </w:rPr>
              <w:t xml:space="preserve">ליקוי - </w:t>
            </w:r>
            <w:r>
              <w:rPr>
                <w:color w:val="000000"/>
                <w:rtl/>
                <w:lang w:bidi="he-IL"/>
              </w:rPr>
              <w:t xml:space="preserve"> במרכזים בעיריית קריית מלאכי, במועצה המקומית קדימה-צורן ובמועצה האזורית מטה יהודה כלל לא הוקמה ועדת היגוי כנדרש בהוראות </w:t>
            </w:r>
            <w:proofErr w:type="spellStart"/>
            <w:r>
              <w:rPr>
                <w:color w:val="000000"/>
                <w:rtl/>
                <w:lang w:bidi="he-IL"/>
              </w:rPr>
              <w:t>התע"ס</w:t>
            </w:r>
            <w:proofErr w:type="spellEnd"/>
            <w:r>
              <w:rPr>
                <w:color w:val="000000"/>
                <w:rtl/>
                <w:lang w:bidi="he-IL"/>
              </w:rPr>
              <w:t>.</w:t>
            </w:r>
            <w:r>
              <w:br/>
            </w:r>
            <w:r>
              <w:br/>
            </w:r>
            <w:r>
              <w:rPr>
                <w:b/>
                <w:bCs/>
                <w:color w:val="000000"/>
                <w:rtl/>
                <w:lang w:bidi="he-IL"/>
              </w:rPr>
              <w:t xml:space="preserve">המלצה - </w:t>
            </w:r>
            <w:r>
              <w:rPr>
                <w:color w:val="000000"/>
                <w:rtl/>
                <w:lang w:bidi="he-IL"/>
              </w:rPr>
              <w:t xml:space="preserve"> על המרכזים לטיפול ומניעת אלימות במשפחה בעיריית קריית מלאכי, במועצה המקומית קדימה-צורן ובמועצה האזורית מטה יהודה להקים ועדת היגוי ולכנס </w:t>
            </w:r>
            <w:r>
              <w:rPr>
                <w:color w:val="000000"/>
                <w:rtl/>
                <w:lang w:bidi="he-IL"/>
              </w:rPr>
              <w:lastRenderedPageBreak/>
              <w:t xml:space="preserve">אותה כנדרש בהוראות </w:t>
            </w:r>
            <w:proofErr w:type="spellStart"/>
            <w:r>
              <w:rPr>
                <w:color w:val="000000"/>
                <w:rtl/>
                <w:lang w:bidi="he-IL"/>
              </w:rPr>
              <w:t>התע"ס</w:t>
            </w:r>
            <w:proofErr w:type="spellEnd"/>
            <w:r>
              <w:rPr>
                <w:color w:val="000000"/>
                <w:rtl/>
                <w:lang w:bidi="he-IL"/>
              </w:rPr>
              <w:t>.</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FB0407E" w14:textId="77777777" w:rsidR="004C6E3C" w:rsidRDefault="004C6E3C">
            <w:pPr>
              <w:bidi/>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47A6DE77" w14:textId="77777777" w:rsidR="004C6E3C" w:rsidRDefault="004C6E3C">
            <w:pPr>
              <w:bidi/>
              <w:spacing w:after="0"/>
            </w:pP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7B15A03"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19D71CAE"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C73EECA" w14:textId="095111D8" w:rsidR="004C6E3C" w:rsidRDefault="00000000">
            <w:sdt>
              <w:sdtPr>
                <w:rPr>
                  <w:b/>
                  <w:caps/>
                </w:rPr>
                <w:id w:val="1733922668"/>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Content>
                <w:r w:rsidR="00220AEF">
                  <w:rPr>
                    <w:b/>
                    <w:caps/>
                  </w:rPr>
                  <w:t>תוקן חלקית</w:t>
                </w:r>
              </w:sdtContent>
            </w:sdt>
          </w:p>
          <w:p w14:paraId="369CA256" w14:textId="77777777" w:rsidR="004C6E3C" w:rsidRDefault="004C6E3C">
            <w:pPr>
              <w:bidi/>
              <w:spacing w:after="0"/>
            </w:pPr>
          </w:p>
        </w:tc>
      </w:tr>
      <w:tr w:rsidR="004C6E3C" w14:paraId="7B5B181F"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59FEE3D" w14:textId="77777777" w:rsidR="004C6E3C" w:rsidRDefault="00000000">
            <w:pPr>
              <w:bidi/>
              <w:spacing w:after="0"/>
              <w:jc w:val="center"/>
            </w:pPr>
            <w:r>
              <w:rPr>
                <w:color w:val="000000"/>
                <w:rtl/>
                <w:lang w:bidi="he-IL"/>
              </w:rPr>
              <w:t>3</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38354FC" w14:textId="77777777" w:rsidR="004C6E3C" w:rsidRDefault="00000000">
            <w:pPr>
              <w:bidi/>
              <w:spacing w:after="0"/>
              <w:jc w:val="center"/>
            </w:pPr>
            <w:r>
              <w:rPr>
                <w:color w:val="000000"/>
                <w:rtl/>
                <w:lang w:bidi="he-IL"/>
              </w:rPr>
              <w:t>התכנסות ועדת ההיגוי וקביעת תוכנית העבודה השנתית</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05FEB36" w14:textId="77777777" w:rsidR="004C6E3C" w:rsidRDefault="00000000">
            <w:pPr>
              <w:bidi/>
              <w:spacing w:after="0"/>
            </w:pPr>
            <w:r>
              <w:rPr>
                <w:b/>
                <w:bCs/>
                <w:color w:val="000000"/>
                <w:rtl/>
                <w:lang w:bidi="he-IL"/>
              </w:rPr>
              <w:t xml:space="preserve">ליקוי - </w:t>
            </w:r>
            <w:r>
              <w:rPr>
                <w:color w:val="000000"/>
                <w:rtl/>
                <w:lang w:bidi="he-IL"/>
              </w:rPr>
              <w:t xml:space="preserve"> הועלה כי בהיעדר הנחיות בנושא, תוכניות העבודה השנתיות של המרכז לטיפול ומניעת אלימות במשפחה אינן כוללות את הרכיבים החיוניים הנדרשים כדי להבטיח את תרומתן המיטבית לעבודת המרכז, ובפרט אינן כוללות מדדי ביצוע (לדוגמה, משך ההמתנה לטיפול או מספר המטופלים והתפלגותם המגדרית) או יעדים </w:t>
            </w:r>
            <w:proofErr w:type="spellStart"/>
            <w:r>
              <w:rPr>
                <w:color w:val="000000"/>
                <w:rtl/>
                <w:lang w:bidi="he-IL"/>
              </w:rPr>
              <w:t>תוצאתיים</w:t>
            </w:r>
            <w:proofErr w:type="spellEnd"/>
            <w:r>
              <w:rPr>
                <w:color w:val="000000"/>
                <w:rtl/>
                <w:lang w:bidi="he-IL"/>
              </w:rPr>
              <w:t xml:space="preserve"> בני מדידה (לדוגמה, שיעור הנשירה מטיפול). כן הועלה כי תוכניות העבודה אינן מקושרות תקציב.</w:t>
            </w:r>
            <w:r>
              <w:br/>
            </w:r>
            <w:r>
              <w:br/>
            </w:r>
            <w:r>
              <w:rPr>
                <w:b/>
                <w:bCs/>
                <w:color w:val="000000"/>
                <w:rtl/>
                <w:lang w:bidi="he-IL"/>
              </w:rPr>
              <w:t xml:space="preserve">המלצה - </w:t>
            </w:r>
            <w:r>
              <w:rPr>
                <w:color w:val="000000"/>
                <w:rtl/>
                <w:lang w:bidi="he-IL"/>
              </w:rPr>
              <w:t xml:space="preserve"> על המרכזים לטיפול ומניעת אלימות במשפחה בעיריות בית שמש, בני ברק, דימונה, חדרה, יבנה, </w:t>
            </w:r>
            <w:proofErr w:type="spellStart"/>
            <w:r>
              <w:rPr>
                <w:color w:val="000000"/>
                <w:rtl/>
                <w:lang w:bidi="he-IL"/>
              </w:rPr>
              <w:t>סח'נין</w:t>
            </w:r>
            <w:proofErr w:type="spellEnd"/>
            <w:r>
              <w:rPr>
                <w:color w:val="000000"/>
                <w:rtl/>
                <w:lang w:bidi="he-IL"/>
              </w:rPr>
              <w:t>, עכו, קריית מלאכי, ראש העין ורהט, במועצה המקומית קדימה-צורן ובמועצות האזוריות דרום השרון ומטה יהודה להקפיד על עצם קביעת תוכנית עבודה שנתית וכן על כך שזו תכלול תכנון תקציבי, יעדים לשנת העבודה וכן מדדי ביצוע ומדדי תוצאה בני מדידה.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ACF6223" w14:textId="77777777" w:rsidR="004C6E3C" w:rsidRDefault="004C6E3C">
            <w:pPr>
              <w:bidi/>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60F4CBA7" w14:textId="77777777" w:rsidR="004C6E3C" w:rsidRDefault="004C6E3C">
            <w:pPr>
              <w:bidi/>
              <w:spacing w:after="0"/>
            </w:pP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A35B7EF"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9DE25BC"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A5A9C4E" w14:textId="07407973" w:rsidR="004C6E3C" w:rsidRDefault="00000000">
            <w:sdt>
              <w:sdtPr>
                <w:rPr>
                  <w:b/>
                  <w:caps/>
                </w:rPr>
                <w:id w:val="1330716080"/>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Content>
                <w:r w:rsidR="00220AEF">
                  <w:t>תוקן חלקית</w:t>
                </w:r>
              </w:sdtContent>
            </w:sdt>
          </w:p>
          <w:p w14:paraId="512B0B3E" w14:textId="77777777" w:rsidR="004C6E3C" w:rsidRDefault="004C6E3C">
            <w:pPr>
              <w:bidi/>
              <w:spacing w:after="0"/>
            </w:pPr>
          </w:p>
        </w:tc>
      </w:tr>
      <w:tr w:rsidR="004C6E3C" w14:paraId="4B68705A"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0B94BDA" w14:textId="77777777" w:rsidR="004C6E3C" w:rsidRDefault="00000000">
            <w:pPr>
              <w:bidi/>
              <w:spacing w:after="0"/>
              <w:jc w:val="center"/>
            </w:pPr>
            <w:r>
              <w:rPr>
                <w:color w:val="000000"/>
                <w:rtl/>
                <w:lang w:bidi="he-IL"/>
              </w:rPr>
              <w:t>4</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F9FEE4C" w14:textId="77777777" w:rsidR="004C6E3C" w:rsidRDefault="00000000">
            <w:pPr>
              <w:bidi/>
              <w:spacing w:after="0"/>
              <w:jc w:val="center"/>
            </w:pPr>
            <w:r>
              <w:rPr>
                <w:color w:val="000000"/>
                <w:rtl/>
                <w:lang w:bidi="he-IL"/>
              </w:rPr>
              <w:t>הנחה בתשלום הארנונה לנשים יוצאות מקלט</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5859615" w14:textId="77777777" w:rsidR="004C6E3C" w:rsidRDefault="00000000">
            <w:pPr>
              <w:bidi/>
              <w:spacing w:after="0"/>
            </w:pPr>
            <w:r>
              <w:rPr>
                <w:b/>
                <w:bCs/>
                <w:color w:val="000000"/>
                <w:rtl/>
                <w:lang w:bidi="he-IL"/>
              </w:rPr>
              <w:t xml:space="preserve">ליקוי - </w:t>
            </w:r>
            <w:r>
              <w:rPr>
                <w:color w:val="000000"/>
                <w:rtl/>
                <w:lang w:bidi="he-IL"/>
              </w:rPr>
              <w:t xml:space="preserve"> הביקורת הנוכחית העלתה כי נכון למועד הבדיקה, באוגוסט 2024, מבין הרשויות המקומיות שנבדקו, כולן העניקו הנחה בארנונה לנשים יוצאות מקלט אך שתיים בלבד (עיריית דימונה והמועצה המקומית קדימה-צורן) פרסמו על כך מידע באתר המרשתת שלהן.</w:t>
            </w:r>
            <w:r>
              <w:br/>
            </w:r>
            <w:r>
              <w:br/>
            </w:r>
            <w:r>
              <w:rPr>
                <w:b/>
                <w:bCs/>
                <w:color w:val="000000"/>
                <w:rtl/>
                <w:lang w:bidi="he-IL"/>
              </w:rPr>
              <w:t xml:space="preserve">המלצה - </w:t>
            </w:r>
            <w:r>
              <w:rPr>
                <w:color w:val="000000"/>
                <w:rtl/>
                <w:lang w:bidi="he-IL"/>
              </w:rPr>
              <w:t xml:space="preserve"> מומלץ לעיריות בית שמש, בני ברק, חדרה, יבנה, </w:t>
            </w:r>
            <w:proofErr w:type="spellStart"/>
            <w:r>
              <w:rPr>
                <w:color w:val="000000"/>
                <w:rtl/>
                <w:lang w:bidi="he-IL"/>
              </w:rPr>
              <w:t>סח'נין</w:t>
            </w:r>
            <w:proofErr w:type="spellEnd"/>
            <w:r>
              <w:rPr>
                <w:color w:val="000000"/>
                <w:rtl/>
                <w:lang w:bidi="he-IL"/>
              </w:rPr>
              <w:t xml:space="preserve">, עכו, קריית מלאכי וראש העין, למועצה המקומית </w:t>
            </w:r>
            <w:proofErr w:type="spellStart"/>
            <w:r>
              <w:rPr>
                <w:color w:val="000000"/>
                <w:rtl/>
                <w:lang w:bidi="he-IL"/>
              </w:rPr>
              <w:t>שיבלי</w:t>
            </w:r>
            <w:proofErr w:type="spellEnd"/>
            <w:r>
              <w:rPr>
                <w:color w:val="000000"/>
                <w:rtl/>
                <w:lang w:bidi="he-IL"/>
              </w:rPr>
              <w:t xml:space="preserve"> - אום אל-</w:t>
            </w:r>
            <w:proofErr w:type="spellStart"/>
            <w:r>
              <w:rPr>
                <w:color w:val="000000"/>
                <w:rtl/>
                <w:lang w:bidi="he-IL"/>
              </w:rPr>
              <w:t>ר'נם</w:t>
            </w:r>
            <w:proofErr w:type="spellEnd"/>
            <w:r>
              <w:rPr>
                <w:color w:val="000000"/>
                <w:rtl/>
                <w:lang w:bidi="he-IL"/>
              </w:rPr>
              <w:t xml:space="preserve"> ולמועצות האזוריות דרום השרון ומטה יהודה לפרסם באתר המרשתת שלהן מידע בדבר זכאותן של נשים יוצאות מקלט להנחה בארנונה.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0DB4724" w14:textId="77777777" w:rsidR="004C6E3C" w:rsidRDefault="004C6E3C">
            <w:pPr>
              <w:bidi/>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27453407" w14:textId="77777777" w:rsidR="004C6E3C" w:rsidRDefault="004C6E3C">
            <w:pPr>
              <w:bidi/>
              <w:spacing w:after="0"/>
            </w:pP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24E9C570"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37482BCF"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66C58109" w14:textId="76423BDB" w:rsidR="004C6E3C" w:rsidRDefault="00000000">
            <w:sdt>
              <w:sdtPr>
                <w:rPr>
                  <w:b/>
                  <w:caps/>
                </w:rPr>
                <w:id w:val="1547725461"/>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Content>
                <w:r w:rsidR="00220AEF">
                  <w:t>תוקן חלקית</w:t>
                </w:r>
              </w:sdtContent>
            </w:sdt>
          </w:p>
          <w:p w14:paraId="41F41222" w14:textId="77777777" w:rsidR="004C6E3C" w:rsidRDefault="004C6E3C">
            <w:pPr>
              <w:bidi/>
              <w:spacing w:after="0"/>
            </w:pPr>
          </w:p>
        </w:tc>
      </w:tr>
      <w:tr w:rsidR="004C6E3C" w14:paraId="0875107D" w14:textId="77777777">
        <w:trPr>
          <w:trHeight w:val="135"/>
          <w:tblCellSpacing w:w="0" w:type="auto"/>
        </w:trPr>
        <w:tc>
          <w:tcPr>
            <w:tcW w:w="568"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0AB09E9" w14:textId="77777777" w:rsidR="004C6E3C" w:rsidRDefault="00000000">
            <w:pPr>
              <w:bidi/>
              <w:spacing w:after="0"/>
              <w:jc w:val="center"/>
            </w:pPr>
            <w:r>
              <w:rPr>
                <w:color w:val="000000"/>
                <w:rtl/>
                <w:lang w:bidi="he-IL"/>
              </w:rPr>
              <w:t>5</w:t>
            </w:r>
          </w:p>
        </w:tc>
        <w:tc>
          <w:tcPr>
            <w:tcW w:w="128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3CA7E19F" w14:textId="77777777" w:rsidR="004C6E3C" w:rsidRDefault="00000000">
            <w:pPr>
              <w:bidi/>
              <w:spacing w:after="0"/>
              <w:jc w:val="center"/>
            </w:pPr>
            <w:r>
              <w:rPr>
                <w:color w:val="000000"/>
                <w:rtl/>
                <w:lang w:bidi="he-IL"/>
              </w:rPr>
              <w:t>הנחה בתשלום הארנונה לנשים יוצאות מקלט</w:t>
            </w:r>
          </w:p>
        </w:tc>
        <w:tc>
          <w:tcPr>
            <w:tcW w:w="384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0F877086" w14:textId="77777777" w:rsidR="004C6E3C" w:rsidRDefault="00000000">
            <w:pPr>
              <w:bidi/>
              <w:spacing w:after="0"/>
            </w:pPr>
            <w:r>
              <w:rPr>
                <w:b/>
                <w:bCs/>
                <w:color w:val="000000"/>
                <w:rtl/>
                <w:lang w:bidi="he-IL"/>
              </w:rPr>
              <w:t xml:space="preserve">ליקוי - </w:t>
            </w:r>
            <w:r>
              <w:rPr>
                <w:color w:val="000000"/>
                <w:rtl/>
                <w:lang w:bidi="he-IL"/>
              </w:rPr>
              <w:t xml:space="preserve"> הביקורת הנוכחית העלתה כי רוב המחלקות לשירותים חברתיים או המרכזים לטיפול ומניעת אלימות במשפחה ברשויות המקומיות שנבדקו (9 מתוך 14) אינם מנהלים מעקב אחר ההחלטה בבקשה להנחה </w:t>
            </w:r>
            <w:r>
              <w:rPr>
                <w:color w:val="000000"/>
                <w:rtl/>
                <w:lang w:bidi="he-IL"/>
              </w:rPr>
              <w:lastRenderedPageBreak/>
              <w:t>בארנונה או אחר מימוש הזכאות להנחה, כך שלא היו בידיהם נתונים על מספר הבקשות להנחה בארנונה שהוגשו בסיועם או על ההנחות שניתנו בפועל על ידי הרשות המקומית.</w:t>
            </w:r>
            <w:r>
              <w:br/>
            </w:r>
            <w:r>
              <w:br/>
            </w:r>
            <w:r>
              <w:rPr>
                <w:b/>
                <w:bCs/>
                <w:color w:val="000000"/>
                <w:rtl/>
                <w:lang w:bidi="he-IL"/>
              </w:rPr>
              <w:t xml:space="preserve">המלצה - </w:t>
            </w:r>
            <w:r>
              <w:rPr>
                <w:color w:val="000000"/>
                <w:rtl/>
                <w:lang w:bidi="he-IL"/>
              </w:rPr>
              <w:t xml:space="preserve"> מומלץ לעיריות בית שמש, בני ברק, דימונה, חדרה, יבנה, </w:t>
            </w:r>
            <w:proofErr w:type="spellStart"/>
            <w:r>
              <w:rPr>
                <w:color w:val="000000"/>
                <w:rtl/>
                <w:lang w:bidi="he-IL"/>
              </w:rPr>
              <w:t>סח'נין</w:t>
            </w:r>
            <w:proofErr w:type="spellEnd"/>
            <w:r>
              <w:rPr>
                <w:color w:val="000000"/>
                <w:rtl/>
                <w:lang w:bidi="he-IL"/>
              </w:rPr>
              <w:t xml:space="preserve">, עכו, קריית מלאכי ורהט, למועצות המקומיות קדימה-צורן </w:t>
            </w:r>
            <w:proofErr w:type="spellStart"/>
            <w:r>
              <w:rPr>
                <w:color w:val="000000"/>
                <w:rtl/>
                <w:lang w:bidi="he-IL"/>
              </w:rPr>
              <w:t>ושיבלי</w:t>
            </w:r>
            <w:proofErr w:type="spellEnd"/>
            <w:r>
              <w:rPr>
                <w:color w:val="000000"/>
                <w:rtl/>
                <w:lang w:bidi="he-IL"/>
              </w:rPr>
              <w:t xml:space="preserve"> - אום אל-</w:t>
            </w:r>
            <w:proofErr w:type="spellStart"/>
            <w:r>
              <w:rPr>
                <w:color w:val="000000"/>
                <w:rtl/>
                <w:lang w:bidi="he-IL"/>
              </w:rPr>
              <w:t>ר'נם</w:t>
            </w:r>
            <w:proofErr w:type="spellEnd"/>
            <w:r>
              <w:rPr>
                <w:color w:val="000000"/>
                <w:rtl/>
                <w:lang w:bidi="he-IL"/>
              </w:rPr>
              <w:t xml:space="preserve"> ולמועצות האזוריות דרום השרון ומטה יהודה לנהל מעקב שיטתי וסדור אחר מיצוי זכויותיהן של נשים יוצאות מקלט המתגוררות בתחומן בכל הקשור להנחה בתשלום הארנונה, לרבות עצם הגשת הבקשה להנחה וכן ההחלטה שהתקבלה בעניינה.</w:t>
            </w: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9F488DD" w14:textId="77777777" w:rsidR="004C6E3C" w:rsidRDefault="004C6E3C">
            <w:pPr>
              <w:bidi/>
              <w:spacing w:after="0"/>
            </w:pPr>
          </w:p>
        </w:tc>
        <w:tc>
          <w:tcPr>
            <w:tcW w:w="4410"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tcPr>
          <w:p w14:paraId="15336B5E" w14:textId="77777777" w:rsidR="004C6E3C" w:rsidRDefault="004C6E3C">
            <w:pPr>
              <w:bidi/>
              <w:spacing w:after="0"/>
            </w:pPr>
          </w:p>
        </w:tc>
        <w:tc>
          <w:tcPr>
            <w:tcW w:w="995"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70AAA9E5"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5E44B199" w14:textId="77777777" w:rsidR="004C6E3C" w:rsidRDefault="004C6E3C">
            <w:pPr>
              <w:bidi/>
              <w:spacing w:after="0"/>
            </w:pPr>
          </w:p>
        </w:tc>
        <w:tc>
          <w:tcPr>
            <w:tcW w:w="996" w:type="dxa"/>
            <w:tcBorders>
              <w:top w:val="outset" w:sz="8" w:space="0" w:color="000000"/>
              <w:left w:val="outset" w:sz="8" w:space="0" w:color="000000"/>
              <w:bottom w:val="outset" w:sz="8" w:space="0" w:color="000000"/>
              <w:right w:val="outset" w:sz="8" w:space="0" w:color="000000"/>
            </w:tcBorders>
            <w:tcMar>
              <w:top w:w="60" w:type="dxa"/>
              <w:left w:w="60" w:type="dxa"/>
              <w:bottom w:w="60" w:type="dxa"/>
              <w:right w:w="60" w:type="dxa"/>
            </w:tcMar>
            <w:vAlign w:val="center"/>
          </w:tcPr>
          <w:p w14:paraId="0C5E1AB8" w14:textId="08EEF26C" w:rsidR="004C6E3C" w:rsidRDefault="00000000">
            <w:sdt>
              <w:sdtPr>
                <w:rPr>
                  <w:b/>
                  <w:caps/>
                </w:rPr>
                <w:id w:val="542437512"/>
                <w:dropDownList>
                  <w:listItem w:displayText="תוקן" w:value="תוקן"/>
                  <w:listItem w:displayText="תוקן חלקית" w:value="תוקן חלקית"/>
                  <w:listItem w:displayText="בכוונתי לתקן" w:value="בכוונתי לתקן"/>
                  <w:listItem w:displayText="לא בכוונתי לתקן" w:value="לא בכוונתי לתקן"/>
                </w:dropDownList>
              </w:sdtPr>
              <w:sdtContent>
                <w:r w:rsidR="00220AEF">
                  <w:t>תוקן</w:t>
                </w:r>
              </w:sdtContent>
            </w:sdt>
          </w:p>
          <w:p w14:paraId="1133BA0C" w14:textId="77777777" w:rsidR="004C6E3C" w:rsidRDefault="004C6E3C">
            <w:pPr>
              <w:bidi/>
              <w:spacing w:after="0"/>
            </w:pPr>
          </w:p>
        </w:tc>
      </w:tr>
    </w:tbl>
    <w:p w14:paraId="0E0652BF" w14:textId="77777777" w:rsidR="004C6E3C" w:rsidRDefault="004C6E3C"/>
    <w:sectPr w:rsidR="004C6E3C">
      <w:footerReference w:type="default" r:id="rId7"/>
      <w:pgSz w:w="18000" w:h="11895" w:orient="landscape"/>
      <w:pgMar w:top="1275" w:right="750" w:bottom="990" w:left="600" w:header="705" w:footer="705" w:gutter="0"/>
      <w:cols w:space="705"/>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51A9" w14:textId="77777777" w:rsidR="006437D9" w:rsidRDefault="006437D9">
      <w:pPr>
        <w:spacing w:after="0" w:line="240" w:lineRule="auto"/>
      </w:pPr>
      <w:r>
        <w:separator/>
      </w:r>
    </w:p>
  </w:endnote>
  <w:endnote w:type="continuationSeparator" w:id="0">
    <w:p w14:paraId="414279F8" w14:textId="77777777" w:rsidR="006437D9" w:rsidRDefault="0064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5198" w14:textId="77777777" w:rsidR="004C6E3C" w:rsidRDefault="00000000">
    <w:pPr>
      <w:jc w:val="center"/>
    </w:pPr>
    <w:r>
      <w:fldChar w:fldCharType="begin"/>
    </w:r>
    <w:r>
      <w:instrText xml:space="preserve"> PAGE \* MERGEFORMAT </w:instrText>
    </w:r>
    <w: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7A1F" w14:textId="77777777" w:rsidR="006437D9" w:rsidRDefault="006437D9">
      <w:pPr>
        <w:spacing w:after="0" w:line="240" w:lineRule="auto"/>
      </w:pPr>
      <w:r>
        <w:separator/>
      </w:r>
    </w:p>
  </w:footnote>
  <w:footnote w:type="continuationSeparator" w:id="0">
    <w:p w14:paraId="4AB50261" w14:textId="77777777" w:rsidR="006437D9" w:rsidRDefault="00643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142B2A0">
      <w:start w:val="1"/>
      <w:numFmt w:val="bullet"/>
      <w:lvlText w:val=""/>
      <w:lvlJc w:val="left"/>
      <w:pPr>
        <w:ind w:left="720" w:hanging="360"/>
      </w:pPr>
      <w:rPr>
        <w:rFonts w:ascii="Symbol" w:hAnsi="Symbol" w:hint="default"/>
      </w:rPr>
    </w:lvl>
    <w:lvl w:ilvl="1" w:tplc="408EE5EE" w:tentative="1">
      <w:start w:val="1"/>
      <w:numFmt w:val="bullet"/>
      <w:lvlText w:val="o"/>
      <w:lvlJc w:val="left"/>
      <w:pPr>
        <w:ind w:left="1440" w:hanging="360"/>
      </w:pPr>
      <w:rPr>
        <w:rFonts w:ascii="Courier New" w:hAnsi="Courier New" w:cs="Courier New" w:hint="default"/>
      </w:rPr>
    </w:lvl>
    <w:lvl w:ilvl="2" w:tplc="6166E96A" w:tentative="1">
      <w:start w:val="1"/>
      <w:numFmt w:val="bullet"/>
      <w:lvlText w:val=""/>
      <w:lvlJc w:val="left"/>
      <w:pPr>
        <w:ind w:left="2160" w:hanging="360"/>
      </w:pPr>
      <w:rPr>
        <w:rFonts w:ascii="Wingdings" w:hAnsi="Wingdings" w:hint="default"/>
      </w:rPr>
    </w:lvl>
    <w:lvl w:ilvl="3" w:tplc="15BE9830" w:tentative="1">
      <w:start w:val="1"/>
      <w:numFmt w:val="bullet"/>
      <w:lvlText w:val=""/>
      <w:lvlJc w:val="left"/>
      <w:pPr>
        <w:ind w:left="2880" w:hanging="360"/>
      </w:pPr>
      <w:rPr>
        <w:rFonts w:ascii="Symbol" w:hAnsi="Symbol" w:hint="default"/>
      </w:rPr>
    </w:lvl>
    <w:lvl w:ilvl="4" w:tplc="D27C7F78" w:tentative="1">
      <w:start w:val="1"/>
      <w:numFmt w:val="bullet"/>
      <w:lvlText w:val="o"/>
      <w:lvlJc w:val="left"/>
      <w:pPr>
        <w:ind w:left="3600" w:hanging="360"/>
      </w:pPr>
      <w:rPr>
        <w:rFonts w:ascii="Courier New" w:hAnsi="Courier New" w:cs="Courier New" w:hint="default"/>
      </w:rPr>
    </w:lvl>
    <w:lvl w:ilvl="5" w:tplc="AB6E119C" w:tentative="1">
      <w:start w:val="1"/>
      <w:numFmt w:val="bullet"/>
      <w:lvlText w:val=""/>
      <w:lvlJc w:val="left"/>
      <w:pPr>
        <w:ind w:left="4320" w:hanging="360"/>
      </w:pPr>
      <w:rPr>
        <w:rFonts w:ascii="Wingdings" w:hAnsi="Wingdings" w:hint="default"/>
      </w:rPr>
    </w:lvl>
    <w:lvl w:ilvl="6" w:tplc="133C4CEA" w:tentative="1">
      <w:start w:val="1"/>
      <w:numFmt w:val="bullet"/>
      <w:lvlText w:val=""/>
      <w:lvlJc w:val="left"/>
      <w:pPr>
        <w:ind w:left="5040" w:hanging="360"/>
      </w:pPr>
      <w:rPr>
        <w:rFonts w:ascii="Symbol" w:hAnsi="Symbol" w:hint="default"/>
      </w:rPr>
    </w:lvl>
    <w:lvl w:ilvl="7" w:tplc="30EC4078" w:tentative="1">
      <w:start w:val="1"/>
      <w:numFmt w:val="bullet"/>
      <w:lvlText w:val="o"/>
      <w:lvlJc w:val="left"/>
      <w:pPr>
        <w:ind w:left="5760" w:hanging="360"/>
      </w:pPr>
      <w:rPr>
        <w:rFonts w:ascii="Courier New" w:hAnsi="Courier New" w:cs="Courier New" w:hint="default"/>
      </w:rPr>
    </w:lvl>
    <w:lvl w:ilvl="8" w:tplc="A8322A84"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32240510">
      <w:start w:val="1"/>
      <w:numFmt w:val="decimal"/>
      <w:lvlText w:val="%1."/>
      <w:lvlJc w:val="left"/>
      <w:pPr>
        <w:ind w:left="720" w:hanging="360"/>
      </w:pPr>
    </w:lvl>
    <w:lvl w:ilvl="1" w:tplc="9BC42EBA" w:tentative="1">
      <w:start w:val="1"/>
      <w:numFmt w:val="lowerLetter"/>
      <w:lvlText w:val="%2."/>
      <w:lvlJc w:val="left"/>
      <w:pPr>
        <w:ind w:left="1440" w:hanging="360"/>
      </w:pPr>
    </w:lvl>
    <w:lvl w:ilvl="2" w:tplc="237EF6D2" w:tentative="1">
      <w:start w:val="1"/>
      <w:numFmt w:val="lowerRoman"/>
      <w:lvlText w:val="%3."/>
      <w:lvlJc w:val="right"/>
      <w:pPr>
        <w:ind w:left="2160" w:hanging="180"/>
      </w:pPr>
    </w:lvl>
    <w:lvl w:ilvl="3" w:tplc="66985D60" w:tentative="1">
      <w:start w:val="1"/>
      <w:numFmt w:val="decimal"/>
      <w:lvlText w:val="%4."/>
      <w:lvlJc w:val="left"/>
      <w:pPr>
        <w:ind w:left="2880" w:hanging="360"/>
      </w:pPr>
    </w:lvl>
    <w:lvl w:ilvl="4" w:tplc="8C369F64" w:tentative="1">
      <w:start w:val="1"/>
      <w:numFmt w:val="lowerLetter"/>
      <w:lvlText w:val="%5."/>
      <w:lvlJc w:val="left"/>
      <w:pPr>
        <w:ind w:left="3600" w:hanging="360"/>
      </w:pPr>
    </w:lvl>
    <w:lvl w:ilvl="5" w:tplc="37680EC8" w:tentative="1">
      <w:start w:val="1"/>
      <w:numFmt w:val="lowerRoman"/>
      <w:lvlText w:val="%6."/>
      <w:lvlJc w:val="right"/>
      <w:pPr>
        <w:ind w:left="4320" w:hanging="180"/>
      </w:pPr>
    </w:lvl>
    <w:lvl w:ilvl="6" w:tplc="5ED6C93A" w:tentative="1">
      <w:start w:val="1"/>
      <w:numFmt w:val="decimal"/>
      <w:lvlText w:val="%7."/>
      <w:lvlJc w:val="left"/>
      <w:pPr>
        <w:ind w:left="5040" w:hanging="360"/>
      </w:pPr>
    </w:lvl>
    <w:lvl w:ilvl="7" w:tplc="50A65726" w:tentative="1">
      <w:start w:val="1"/>
      <w:numFmt w:val="lowerLetter"/>
      <w:lvlText w:val="%8."/>
      <w:lvlJc w:val="left"/>
      <w:pPr>
        <w:ind w:left="5760" w:hanging="360"/>
      </w:pPr>
    </w:lvl>
    <w:lvl w:ilvl="8" w:tplc="9EF252E0" w:tentative="1">
      <w:start w:val="1"/>
      <w:numFmt w:val="lowerRoman"/>
      <w:lvlText w:val="%9."/>
      <w:lvlJc w:val="right"/>
      <w:pPr>
        <w:ind w:left="6480" w:hanging="180"/>
      </w:pPr>
    </w:lvl>
  </w:abstractNum>
  <w:num w:numId="1" w16cid:durableId="1226720723">
    <w:abstractNumId w:val="1"/>
  </w:num>
  <w:num w:numId="2" w16cid:durableId="149402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3C"/>
    <w:rsid w:val="00220AEF"/>
    <w:rsid w:val="003748B8"/>
    <w:rsid w:val="004C6E3C"/>
    <w:rsid w:val="00643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589D23B"/>
  <w15:docId w15:val="{06A64932-57BE-4CF1-8E83-B81B83A0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imes New Roman" w:hAnsi="David" w:cs="David"/>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כותרת עליונה תו"/>
    <w:basedOn w:val="a0"/>
    <w:link w:val="a3"/>
    <w:uiPriority w:val="99"/>
    <w:rsid w:val="00841CD9"/>
  </w:style>
  <w:style w:type="character" w:customStyle="1" w:styleId="10">
    <w:name w:val="כותרת 1 תו"/>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כותרת משנה תו"/>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כותרת טקסט תו"/>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Hyperlink">
    <w:name w:val="Hyperlink"/>
    <w:basedOn w:val="a0"/>
    <w:uiPriority w:val="99"/>
    <w:unhideWhenUsed/>
    <w:rPr>
      <w:color w:val="0000FF" w:themeColor="hyperlink"/>
      <w:u w:val="single"/>
    </w:rPr>
  </w:style>
  <w:style w:type="table" w:styleId="ab">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2925</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איתי</dc:creator>
  <cp:lastModifiedBy>איתי קורן-מבקר העירייה</cp:lastModifiedBy>
  <cp:revision>2</cp:revision>
  <dcterms:created xsi:type="dcterms:W3CDTF">2025-08-28T15:21:00Z</dcterms:created>
  <dcterms:modified xsi:type="dcterms:W3CDTF">2025-08-28T15:21:00Z</dcterms:modified>
</cp:coreProperties>
</file>